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C2" w:rsidRDefault="00B06DC2" w:rsidP="00B06DC2">
      <w:pPr>
        <w:jc w:val="center"/>
        <w:rPr>
          <w:color w:val="FF0000"/>
          <w:sz w:val="36"/>
          <w:szCs w:val="36"/>
          <w:u w:val="single"/>
        </w:rPr>
      </w:pPr>
      <w:r>
        <w:rPr>
          <w:sz w:val="36"/>
          <w:szCs w:val="36"/>
          <w:u w:val="single"/>
        </w:rPr>
        <w:t>HOSPICE PROVIDERS</w:t>
      </w:r>
    </w:p>
    <w:p w:rsidR="00B06DC2" w:rsidRDefault="00B06DC2" w:rsidP="00B06DC2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EMPLOYEE DISQUALIFICATION LIST (EDL)/FAMILY CARE SAFETY REGISTRY (FCSR)/ GOOD CAUSE WAIVER (GCW)</w:t>
      </w:r>
    </w:p>
    <w:p w:rsidR="00B06DC2" w:rsidRDefault="00B06DC2" w:rsidP="00B06DC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CLARIFICATION</w:t>
      </w:r>
    </w:p>
    <w:p w:rsidR="00B06DC2" w:rsidRDefault="00B06DC2" w:rsidP="00B06DC2">
      <w:pPr>
        <w:jc w:val="center"/>
        <w:rPr>
          <w:u w:val="single"/>
        </w:rPr>
      </w:pPr>
    </w:p>
    <w:p w:rsidR="00B06DC2" w:rsidRDefault="00B06DC2" w:rsidP="00B06DC2">
      <w:r>
        <w:rPr>
          <w:sz w:val="24"/>
          <w:szCs w:val="24"/>
        </w:rPr>
        <w:t>Background information</w:t>
      </w:r>
      <w:r>
        <w:t>:</w:t>
      </w:r>
    </w:p>
    <w:p w:rsidR="00B06DC2" w:rsidRDefault="00B06DC2" w:rsidP="00B06DC2"/>
    <w:p w:rsidR="00B06DC2" w:rsidRDefault="00B06DC2" w:rsidP="00B06DC2">
      <w:pPr>
        <w:numPr>
          <w:ilvl w:val="0"/>
          <w:numId w:val="1"/>
        </w:numPr>
        <w:rPr>
          <w:rFonts w:eastAsia="Times New Roman"/>
          <w:b/>
          <w:bCs/>
          <w:color w:val="1F497D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Conditional employment is NOT an option for hospice agencies</w:t>
      </w:r>
      <w:proofErr w:type="gramStart"/>
      <w:r>
        <w:rPr>
          <w:rFonts w:eastAsia="Times New Roman"/>
          <w:b/>
          <w:b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   </w:t>
      </w:r>
      <w:proofErr w:type="gramEnd"/>
      <w:r>
        <w:rPr>
          <w:rFonts w:eastAsia="Times New Roman"/>
          <w:sz w:val="20"/>
          <w:szCs w:val="20"/>
        </w:rPr>
        <w:t xml:space="preserve">19 CSR 30.82.060(14) only allows   conditional employment for home health services. </w:t>
      </w:r>
    </w:p>
    <w:p w:rsidR="00B06DC2" w:rsidRDefault="00B06DC2" w:rsidP="00B06DC2">
      <w:pPr>
        <w:ind w:left="720"/>
        <w:rPr>
          <w:b/>
          <w:bCs/>
          <w:color w:val="1F497D"/>
          <w:sz w:val="20"/>
          <w:szCs w:val="20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b/>
          <w:bCs/>
          <w:color w:val="1F497D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Section 192.2490.12 </w:t>
      </w:r>
      <w:proofErr w:type="spellStart"/>
      <w:r>
        <w:rPr>
          <w:rFonts w:eastAsia="Times New Roman"/>
          <w:sz w:val="20"/>
          <w:szCs w:val="20"/>
        </w:rPr>
        <w:t>RSMo</w:t>
      </w:r>
      <w:proofErr w:type="spellEnd"/>
      <w:r>
        <w:rPr>
          <w:rFonts w:eastAsia="Times New Roman"/>
          <w:sz w:val="20"/>
          <w:szCs w:val="20"/>
        </w:rPr>
        <w:t xml:space="preserve"> requires that Employee Disqualification List (EDL) be checked </w:t>
      </w:r>
      <w:r>
        <w:rPr>
          <w:rFonts w:eastAsia="Times New Roman"/>
          <w:b/>
          <w:bCs/>
          <w:sz w:val="20"/>
          <w:szCs w:val="20"/>
        </w:rPr>
        <w:t>prior to hiring an employee</w:t>
      </w:r>
      <w:r>
        <w:rPr>
          <w:rFonts w:eastAsia="Times New Roman"/>
          <w:b/>
          <w:bCs/>
          <w:color w:val="1F497D"/>
          <w:sz w:val="20"/>
          <w:szCs w:val="20"/>
        </w:rPr>
        <w:t xml:space="preserve">. </w:t>
      </w:r>
    </w:p>
    <w:p w:rsidR="00B06DC2" w:rsidRDefault="00B06DC2" w:rsidP="00B06DC2">
      <w:pPr>
        <w:ind w:left="720"/>
        <w:rPr>
          <w:sz w:val="20"/>
          <w:szCs w:val="20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Section 192.2495.3 </w:t>
      </w:r>
      <w:proofErr w:type="spellStart"/>
      <w:r>
        <w:rPr>
          <w:rFonts w:eastAsia="Times New Roman"/>
          <w:sz w:val="20"/>
          <w:szCs w:val="20"/>
        </w:rPr>
        <w:t>RSMo</w:t>
      </w:r>
      <w:proofErr w:type="spellEnd"/>
      <w:r>
        <w:rPr>
          <w:rFonts w:eastAsia="Times New Roman"/>
          <w:sz w:val="20"/>
          <w:szCs w:val="20"/>
        </w:rPr>
        <w:t xml:space="preserve"> requires a criminal background check </w:t>
      </w:r>
      <w:r>
        <w:rPr>
          <w:rFonts w:eastAsia="Times New Roman"/>
          <w:b/>
          <w:bCs/>
          <w:sz w:val="20"/>
          <w:szCs w:val="20"/>
        </w:rPr>
        <w:t>prior to allowing any person who has been hired to have contact with a patient.</w:t>
      </w:r>
    </w:p>
    <w:p w:rsidR="00B06DC2" w:rsidRDefault="00B06DC2" w:rsidP="00B06DC2">
      <w:pPr>
        <w:ind w:left="720"/>
        <w:rPr>
          <w:sz w:val="20"/>
          <w:szCs w:val="20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Section 192.2495.6 </w:t>
      </w:r>
      <w:proofErr w:type="spellStart"/>
      <w:r>
        <w:rPr>
          <w:rFonts w:eastAsia="Times New Roman"/>
          <w:sz w:val="20"/>
          <w:szCs w:val="20"/>
        </w:rPr>
        <w:t>RSMo</w:t>
      </w:r>
      <w:proofErr w:type="spellEnd"/>
      <w:r>
        <w:rPr>
          <w:rFonts w:eastAsia="Times New Roman"/>
          <w:sz w:val="20"/>
          <w:szCs w:val="20"/>
        </w:rPr>
        <w:t xml:space="preserve"> requires that agencies </w:t>
      </w:r>
      <w:r>
        <w:rPr>
          <w:rFonts w:eastAsia="Times New Roman"/>
          <w:b/>
          <w:bCs/>
          <w:sz w:val="20"/>
          <w:szCs w:val="20"/>
        </w:rPr>
        <w:t>cannot hire or retain any employee to have patient contact</w:t>
      </w:r>
      <w:r>
        <w:rPr>
          <w:rFonts w:eastAsia="Times New Roman"/>
          <w:sz w:val="20"/>
          <w:szCs w:val="20"/>
        </w:rPr>
        <w:t xml:space="preserve"> if found to have a criminal background finding known as a Crimes </w:t>
      </w:r>
      <w:proofErr w:type="gramStart"/>
      <w:r>
        <w:rPr>
          <w:rFonts w:eastAsia="Times New Roman"/>
          <w:sz w:val="20"/>
          <w:szCs w:val="20"/>
        </w:rPr>
        <w:t>Against</w:t>
      </w:r>
      <w:proofErr w:type="gramEnd"/>
      <w:r>
        <w:rPr>
          <w:rFonts w:eastAsia="Times New Roman"/>
          <w:sz w:val="20"/>
          <w:szCs w:val="20"/>
        </w:rPr>
        <w:t xml:space="preserve"> Persons. A complete list of these Crimes </w:t>
      </w:r>
      <w:proofErr w:type="gramStart"/>
      <w:r>
        <w:rPr>
          <w:rFonts w:eastAsia="Times New Roman"/>
          <w:sz w:val="20"/>
          <w:szCs w:val="20"/>
        </w:rPr>
        <w:t>Against</w:t>
      </w:r>
      <w:proofErr w:type="gramEnd"/>
      <w:r>
        <w:rPr>
          <w:rFonts w:eastAsia="Times New Roman"/>
          <w:sz w:val="20"/>
          <w:szCs w:val="20"/>
        </w:rPr>
        <w:t xml:space="preserve"> Persons can be found at </w:t>
      </w:r>
      <w:hyperlink r:id="rId5" w:history="1">
        <w:r>
          <w:rPr>
            <w:rStyle w:val="Hyperlink"/>
            <w:rFonts w:eastAsia="Times New Roman"/>
            <w:color w:val="0000FF"/>
            <w:sz w:val="20"/>
            <w:szCs w:val="20"/>
          </w:rPr>
          <w:t>https://health.mo.gov/safety/goodcausewaiver/crimes.php</w:t>
        </w:r>
      </w:hyperlink>
      <w:r>
        <w:rPr>
          <w:rFonts w:eastAsia="Times New Roman"/>
          <w:sz w:val="20"/>
          <w:szCs w:val="20"/>
        </w:rPr>
        <w:t xml:space="preserve">. </w:t>
      </w:r>
    </w:p>
    <w:p w:rsidR="00B06DC2" w:rsidRDefault="00B06DC2" w:rsidP="00B06DC2">
      <w:pPr>
        <w:ind w:left="720"/>
        <w:rPr>
          <w:sz w:val="20"/>
          <w:szCs w:val="20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Missouri House Bill 1350, effective August 28, 2018, changed the background screening disqualifiers from “any FCSR finding” to a defined list of findings</w:t>
      </w:r>
      <w:proofErr w:type="gramStart"/>
      <w:r>
        <w:rPr>
          <w:rFonts w:eastAsia="Times New Roman"/>
          <w:sz w:val="20"/>
          <w:szCs w:val="20"/>
        </w:rPr>
        <w:t xml:space="preserve">.  </w:t>
      </w:r>
      <w:proofErr w:type="gramEnd"/>
      <w:r>
        <w:rPr>
          <w:rFonts w:eastAsia="Times New Roman"/>
          <w:sz w:val="20"/>
          <w:szCs w:val="20"/>
        </w:rPr>
        <w:t xml:space="preserve">See Section 192.2495.7 </w:t>
      </w:r>
      <w:proofErr w:type="spellStart"/>
      <w:r>
        <w:rPr>
          <w:rFonts w:eastAsia="Times New Roman"/>
          <w:sz w:val="20"/>
          <w:szCs w:val="20"/>
        </w:rPr>
        <w:t>RSMo</w:t>
      </w:r>
      <w:proofErr w:type="spellEnd"/>
      <w:proofErr w:type="gramStart"/>
      <w:r>
        <w:rPr>
          <w:rFonts w:eastAsia="Times New Roman"/>
          <w:sz w:val="20"/>
          <w:szCs w:val="20"/>
        </w:rPr>
        <w:t xml:space="preserve">.  </w:t>
      </w:r>
      <w:proofErr w:type="gramEnd"/>
      <w:r>
        <w:rPr>
          <w:rFonts w:eastAsia="Times New Roman"/>
          <w:sz w:val="20"/>
          <w:szCs w:val="20"/>
        </w:rPr>
        <w:t>A complete list of these Disqualifying Factors can be found at</w:t>
      </w:r>
    </w:p>
    <w:p w:rsidR="00B06DC2" w:rsidRDefault="00B06DC2" w:rsidP="00B06DC2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 </w:t>
      </w:r>
      <w:hyperlink r:id="rId6" w:history="1">
        <w:r>
          <w:rPr>
            <w:rStyle w:val="Hyperlink"/>
            <w:color w:val="0000FF"/>
            <w:sz w:val="20"/>
            <w:szCs w:val="20"/>
          </w:rPr>
          <w:t>https://health.mo.gov/safety/goodcausewaiver/disqualifying-factors.php</w:t>
        </w:r>
      </w:hyperlink>
      <w:r>
        <w:rPr>
          <w:sz w:val="20"/>
          <w:szCs w:val="20"/>
        </w:rPr>
        <w:t xml:space="preserve">.  </w:t>
      </w:r>
    </w:p>
    <w:p w:rsidR="00B06DC2" w:rsidRDefault="00B06DC2" w:rsidP="00B06DC2">
      <w:pPr>
        <w:ind w:left="720"/>
      </w:pPr>
    </w:p>
    <w:p w:rsidR="00B06DC2" w:rsidRDefault="00B06DC2" w:rsidP="00B06DC2">
      <w:pPr>
        <w:rPr>
          <w:sz w:val="24"/>
          <w:szCs w:val="24"/>
        </w:rPr>
      </w:pPr>
      <w:r>
        <w:rPr>
          <w:sz w:val="24"/>
          <w:szCs w:val="24"/>
        </w:rPr>
        <w:t xml:space="preserve">After a legal review of the above laws conducted by the </w:t>
      </w:r>
      <w:r>
        <w:rPr>
          <w:i/>
          <w:iCs/>
          <w:sz w:val="24"/>
          <w:szCs w:val="24"/>
        </w:rPr>
        <w:t>Division of Regulation and Licensure’s Office of General Council</w:t>
      </w:r>
      <w:r>
        <w:rPr>
          <w:sz w:val="24"/>
          <w:szCs w:val="24"/>
        </w:rPr>
        <w:t xml:space="preserve"> it has been determined the following procedure must be followed by hospice agencies in order to be compliant:</w:t>
      </w:r>
    </w:p>
    <w:p w:rsidR="00B06DC2" w:rsidRDefault="00B06DC2" w:rsidP="00B06DC2"/>
    <w:p w:rsidR="00B06DC2" w:rsidRDefault="00B06DC2" w:rsidP="00B06DC2">
      <w:pPr>
        <w:numPr>
          <w:ilvl w:val="0"/>
          <w:numId w:val="2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Employee Disqualification List (EDL) results must be obtained </w:t>
      </w:r>
      <w:r>
        <w:rPr>
          <w:rFonts w:eastAsia="Times New Roman"/>
          <w:b/>
          <w:bCs/>
          <w:color w:val="FF0000"/>
          <w:sz w:val="20"/>
          <w:szCs w:val="20"/>
        </w:rPr>
        <w:t>prior to hire</w:t>
      </w:r>
      <w:r>
        <w:rPr>
          <w:rFonts w:eastAsia="Times New Roman"/>
          <w:color w:val="FF0000"/>
          <w:sz w:val="20"/>
          <w:szCs w:val="20"/>
        </w:rPr>
        <w:t xml:space="preserve">. </w:t>
      </w:r>
    </w:p>
    <w:p w:rsidR="00B06DC2" w:rsidRDefault="00B06DC2" w:rsidP="00B06DC2">
      <w:pPr>
        <w:ind w:left="720"/>
        <w:rPr>
          <w:color w:val="FF0000"/>
          <w:sz w:val="20"/>
          <w:szCs w:val="20"/>
        </w:rPr>
      </w:pPr>
    </w:p>
    <w:p w:rsidR="00B06DC2" w:rsidRDefault="00B06DC2" w:rsidP="00B06DC2">
      <w:pPr>
        <w:numPr>
          <w:ilvl w:val="0"/>
          <w:numId w:val="3"/>
        </w:num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Criminal Background check results must be obtained </w:t>
      </w:r>
      <w:r>
        <w:rPr>
          <w:rFonts w:eastAsia="Times New Roman"/>
          <w:b/>
          <w:bCs/>
          <w:color w:val="FF0000"/>
          <w:sz w:val="20"/>
          <w:szCs w:val="20"/>
        </w:rPr>
        <w:t>prior to patient contact</w:t>
      </w:r>
      <w:proofErr w:type="gramStart"/>
      <w:r>
        <w:rPr>
          <w:rFonts w:eastAsia="Times New Roman"/>
          <w:sz w:val="20"/>
          <w:szCs w:val="20"/>
        </w:rPr>
        <w:t xml:space="preserve">.  </w:t>
      </w:r>
      <w:proofErr w:type="gramEnd"/>
      <w:r>
        <w:rPr>
          <w:rFonts w:eastAsia="Times New Roman"/>
          <w:i/>
          <w:iCs/>
          <w:sz w:val="20"/>
          <w:szCs w:val="20"/>
          <w:u w:val="single"/>
        </w:rPr>
        <w:t>Note:  Hospices are not required by regulation to use the Family Care Safety Registry (FCSR) for criminal background checks</w:t>
      </w:r>
      <w:proofErr w:type="gramStart"/>
      <w:r>
        <w:rPr>
          <w:rFonts w:eastAsia="Times New Roman"/>
          <w:sz w:val="20"/>
          <w:szCs w:val="20"/>
        </w:rPr>
        <w:t xml:space="preserve">.  </w:t>
      </w:r>
      <w:proofErr w:type="gramEnd"/>
      <w:r>
        <w:rPr>
          <w:rFonts w:eastAsia="Times New Roman"/>
          <w:sz w:val="20"/>
          <w:szCs w:val="20"/>
        </w:rPr>
        <w:t xml:space="preserve">However, if it is the agency’s policy to use the FCSR for background checks, results must be obtained </w:t>
      </w:r>
      <w:r>
        <w:rPr>
          <w:rFonts w:eastAsia="Times New Roman"/>
          <w:b/>
          <w:bCs/>
          <w:color w:val="FF0000"/>
          <w:sz w:val="20"/>
          <w:szCs w:val="20"/>
        </w:rPr>
        <w:t>prior to patient contact</w:t>
      </w:r>
      <w:proofErr w:type="gramStart"/>
      <w:r>
        <w:rPr>
          <w:rFonts w:eastAsia="Times New Roman"/>
          <w:sz w:val="20"/>
          <w:szCs w:val="20"/>
        </w:rPr>
        <w:t>.  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(If also checking EDL through FCSR, results must be obtained </w:t>
      </w:r>
      <w:r>
        <w:rPr>
          <w:rFonts w:eastAsia="Times New Roman"/>
          <w:b/>
          <w:bCs/>
          <w:color w:val="FF0000"/>
          <w:sz w:val="20"/>
          <w:szCs w:val="20"/>
        </w:rPr>
        <w:t>prior to hire</w:t>
      </w:r>
      <w:r>
        <w:rPr>
          <w:rFonts w:eastAsia="Times New Roman"/>
          <w:b/>
          <w:bCs/>
          <w:sz w:val="20"/>
          <w:szCs w:val="20"/>
        </w:rPr>
        <w:t>.)</w:t>
      </w:r>
    </w:p>
    <w:p w:rsidR="00B06DC2" w:rsidRDefault="00B06DC2" w:rsidP="00B06DC2">
      <w:pPr>
        <w:ind w:left="720"/>
        <w:rPr>
          <w:sz w:val="20"/>
          <w:szCs w:val="20"/>
        </w:rPr>
      </w:pPr>
    </w:p>
    <w:p w:rsidR="00B06DC2" w:rsidRDefault="00B06DC2" w:rsidP="00B06DC2">
      <w:pPr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If an employee is found to be on the EDL list – </w:t>
      </w:r>
      <w:r>
        <w:rPr>
          <w:b/>
          <w:bCs/>
          <w:color w:val="FF0000"/>
          <w:sz w:val="20"/>
          <w:szCs w:val="20"/>
        </w:rPr>
        <w:t>no Good Cause Waiver (GCW) is available</w:t>
      </w:r>
      <w:r>
        <w:rPr>
          <w:b/>
          <w:bCs/>
          <w:sz w:val="20"/>
          <w:szCs w:val="20"/>
        </w:rPr>
        <w:t xml:space="preserve">. </w:t>
      </w:r>
    </w:p>
    <w:p w:rsidR="00B06DC2" w:rsidRDefault="00B06DC2" w:rsidP="00B06DC2">
      <w:pPr>
        <w:ind w:left="1440"/>
        <w:rPr>
          <w:sz w:val="20"/>
          <w:szCs w:val="20"/>
        </w:rPr>
      </w:pPr>
    </w:p>
    <w:p w:rsidR="00B06DC2" w:rsidRDefault="00B06DC2" w:rsidP="00B06DC2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 criminal background check shows a  Class A or B felony violation of chapter 565, </w:t>
      </w:r>
      <w:proofErr w:type="spellStart"/>
      <w:r>
        <w:rPr>
          <w:sz w:val="20"/>
          <w:szCs w:val="20"/>
        </w:rPr>
        <w:t>RSMo</w:t>
      </w:r>
      <w:proofErr w:type="spellEnd"/>
      <w:r>
        <w:rPr>
          <w:sz w:val="20"/>
          <w:szCs w:val="20"/>
        </w:rPr>
        <w:t xml:space="preserve"> (Offenses Against the Person); chapter 566, </w:t>
      </w:r>
      <w:proofErr w:type="spellStart"/>
      <w:r>
        <w:rPr>
          <w:sz w:val="20"/>
          <w:szCs w:val="20"/>
        </w:rPr>
        <w:t>RSMo</w:t>
      </w:r>
      <w:proofErr w:type="spellEnd"/>
      <w:r>
        <w:rPr>
          <w:sz w:val="20"/>
          <w:szCs w:val="20"/>
        </w:rPr>
        <w:t xml:space="preserve"> (Sexual Offenses), or chapter 569, </w:t>
      </w:r>
      <w:proofErr w:type="spellStart"/>
      <w:r>
        <w:rPr>
          <w:sz w:val="20"/>
          <w:szCs w:val="20"/>
        </w:rPr>
        <w:t>RSMo</w:t>
      </w:r>
      <w:proofErr w:type="spellEnd"/>
      <w:r>
        <w:rPr>
          <w:sz w:val="20"/>
          <w:szCs w:val="20"/>
        </w:rPr>
        <w:t xml:space="preserve"> (Robbery, Arson, Burglary and Related Offenses), or any violation of subsection 3 of section 198.070, </w:t>
      </w:r>
      <w:proofErr w:type="spellStart"/>
      <w:r>
        <w:rPr>
          <w:sz w:val="20"/>
          <w:szCs w:val="20"/>
        </w:rPr>
        <w:t>RSMo</w:t>
      </w:r>
      <w:proofErr w:type="spellEnd"/>
      <w:r>
        <w:rPr>
          <w:sz w:val="20"/>
          <w:szCs w:val="20"/>
        </w:rPr>
        <w:t xml:space="preserve"> (required reporter that knowingly fails to report abuse or neglect of a resident of a residential care, intermediate care or skilled nursing facility) or section 568.020, </w:t>
      </w:r>
      <w:proofErr w:type="spellStart"/>
      <w:r>
        <w:rPr>
          <w:sz w:val="20"/>
          <w:szCs w:val="20"/>
        </w:rPr>
        <w:t>RSMo</w:t>
      </w:r>
      <w:proofErr w:type="spellEnd"/>
      <w:r>
        <w:rPr>
          <w:sz w:val="20"/>
          <w:szCs w:val="20"/>
        </w:rPr>
        <w:t xml:space="preserve"> (Incest); a GCW </w:t>
      </w:r>
      <w:r>
        <w:rPr>
          <w:b/>
          <w:bCs/>
          <w:color w:val="FF0000"/>
          <w:sz w:val="20"/>
          <w:szCs w:val="20"/>
        </w:rPr>
        <w:t>must be</w:t>
      </w:r>
      <w:r>
        <w:rPr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GRANTED</w:t>
      </w:r>
      <w:r>
        <w:rPr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prior to patient contact</w:t>
      </w:r>
      <w:r>
        <w:rPr>
          <w:b/>
          <w:bCs/>
          <w:sz w:val="20"/>
          <w:szCs w:val="20"/>
        </w:rPr>
        <w:t xml:space="preserve">. </w:t>
      </w:r>
    </w:p>
    <w:p w:rsidR="00B06DC2" w:rsidRDefault="00B06DC2" w:rsidP="00B06DC2">
      <w:pPr>
        <w:ind w:left="720"/>
        <w:rPr>
          <w:sz w:val="20"/>
          <w:szCs w:val="20"/>
        </w:rPr>
      </w:pPr>
    </w:p>
    <w:p w:rsidR="00B06DC2" w:rsidRDefault="00B06DC2" w:rsidP="00B06DC2">
      <w:pPr>
        <w:numPr>
          <w:ilvl w:val="1"/>
          <w:numId w:val="4"/>
        </w:numPr>
        <w:rPr>
          <w:lang w:val="en" w:eastAsia="x-none"/>
        </w:rPr>
      </w:pPr>
      <w:r>
        <w:rPr>
          <w:lang w:val="en" w:eastAsia="x-none"/>
        </w:rPr>
        <w:t>The other disqualifying factors listed at section 192.2495.7 are not considered disqualifying factors for hospice and do not require a good cause waiver</w:t>
      </w:r>
      <w:proofErr w:type="gramStart"/>
      <w:r>
        <w:rPr>
          <w:lang w:val="en" w:eastAsia="x-none"/>
        </w:rPr>
        <w:t xml:space="preserve">.  </w:t>
      </w:r>
      <w:proofErr w:type="gramEnd"/>
      <w:r>
        <w:rPr>
          <w:lang w:val="en" w:eastAsia="x-none"/>
        </w:rPr>
        <w:t xml:space="preserve">It is up to the individual hospice to make the decision for employment.  </w:t>
      </w:r>
    </w:p>
    <w:p w:rsidR="006D6EDA" w:rsidRDefault="006D6EDA"/>
    <w:p w:rsidR="00B06DC2" w:rsidRDefault="00B06DC2" w:rsidP="00B06DC2">
      <w:pPr>
        <w:jc w:val="center"/>
        <w:rPr>
          <w:color w:val="FF0000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HOME HEALTH PROVIDERS </w:t>
      </w:r>
      <w:r>
        <w:rPr>
          <w:sz w:val="36"/>
          <w:szCs w:val="36"/>
        </w:rPr>
        <w:t>   </w:t>
      </w:r>
    </w:p>
    <w:p w:rsidR="00B06DC2" w:rsidRDefault="00B06DC2" w:rsidP="00B06DC2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EMPLOYEE DISQUALIFICATION LIST (EDL)/FAMILY CARE SAFETY REGISTRY (FCSR)/ GOOD CAUSE WAIVER (GCW)</w:t>
      </w:r>
    </w:p>
    <w:p w:rsidR="00B06DC2" w:rsidRDefault="00B06DC2" w:rsidP="00B06DC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CLARIFICATION</w:t>
      </w:r>
    </w:p>
    <w:p w:rsidR="00B06DC2" w:rsidRDefault="00B06DC2" w:rsidP="00B06DC2">
      <w:pPr>
        <w:jc w:val="center"/>
        <w:rPr>
          <w:sz w:val="24"/>
          <w:szCs w:val="24"/>
          <w:u w:val="single"/>
        </w:rPr>
      </w:pPr>
    </w:p>
    <w:p w:rsidR="00B06DC2" w:rsidRDefault="00B06DC2" w:rsidP="00B06DC2">
      <w:pPr>
        <w:jc w:val="center"/>
        <w:rPr>
          <w:u w:val="single"/>
        </w:rPr>
      </w:pPr>
    </w:p>
    <w:p w:rsidR="00B06DC2" w:rsidRDefault="00B06DC2" w:rsidP="00B06DC2">
      <w:pPr>
        <w:rPr>
          <w:sz w:val="24"/>
          <w:szCs w:val="24"/>
        </w:rPr>
      </w:pPr>
      <w:r>
        <w:rPr>
          <w:sz w:val="24"/>
          <w:szCs w:val="24"/>
        </w:rPr>
        <w:t>Background information:</w:t>
      </w:r>
    </w:p>
    <w:p w:rsidR="00B06DC2" w:rsidRDefault="00B06DC2" w:rsidP="00B06DC2">
      <w:pPr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b/>
          <w:bCs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Section 192.2490.12 </w:t>
      </w:r>
      <w:proofErr w:type="spellStart"/>
      <w:r>
        <w:rPr>
          <w:rFonts w:eastAsia="Times New Roman"/>
          <w:sz w:val="24"/>
          <w:szCs w:val="24"/>
        </w:rPr>
        <w:t>RSMo</w:t>
      </w:r>
      <w:proofErr w:type="spellEnd"/>
      <w:r>
        <w:rPr>
          <w:rFonts w:eastAsia="Times New Roman"/>
          <w:sz w:val="24"/>
          <w:szCs w:val="24"/>
        </w:rPr>
        <w:t xml:space="preserve"> requires that Employee Disqualification List (EDL) be checked </w:t>
      </w:r>
      <w:r>
        <w:rPr>
          <w:rFonts w:eastAsia="Times New Roman"/>
          <w:b/>
          <w:bCs/>
          <w:sz w:val="24"/>
          <w:szCs w:val="24"/>
        </w:rPr>
        <w:t>prior to hiring an employee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. 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Section 192.2495.3 </w:t>
      </w:r>
      <w:proofErr w:type="spellStart"/>
      <w:r>
        <w:rPr>
          <w:rFonts w:eastAsia="Times New Roman"/>
          <w:sz w:val="24"/>
          <w:szCs w:val="24"/>
        </w:rPr>
        <w:t>RSMo</w:t>
      </w:r>
      <w:proofErr w:type="spellEnd"/>
      <w:r>
        <w:rPr>
          <w:rFonts w:eastAsia="Times New Roman"/>
          <w:sz w:val="24"/>
          <w:szCs w:val="24"/>
        </w:rPr>
        <w:t xml:space="preserve"> requires a criminal background check </w:t>
      </w:r>
      <w:r>
        <w:rPr>
          <w:rFonts w:eastAsia="Times New Roman"/>
          <w:b/>
          <w:bCs/>
          <w:sz w:val="24"/>
          <w:szCs w:val="24"/>
        </w:rPr>
        <w:t>prior to allowing any person who has been hired to have contact with a patient.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Section 192.2495.6 </w:t>
      </w:r>
      <w:proofErr w:type="spellStart"/>
      <w:r>
        <w:rPr>
          <w:rFonts w:eastAsia="Times New Roman"/>
          <w:sz w:val="24"/>
          <w:szCs w:val="24"/>
        </w:rPr>
        <w:t>RSMo</w:t>
      </w:r>
      <w:proofErr w:type="spellEnd"/>
      <w:r>
        <w:rPr>
          <w:rFonts w:eastAsia="Times New Roman"/>
          <w:sz w:val="24"/>
          <w:szCs w:val="24"/>
        </w:rPr>
        <w:t xml:space="preserve"> requires that agencies </w:t>
      </w:r>
      <w:r>
        <w:rPr>
          <w:rFonts w:eastAsia="Times New Roman"/>
          <w:b/>
          <w:bCs/>
          <w:sz w:val="24"/>
          <w:szCs w:val="24"/>
        </w:rPr>
        <w:t>cannot hire or retain any employee to have patient contact</w:t>
      </w:r>
      <w:r>
        <w:rPr>
          <w:rFonts w:eastAsia="Times New Roman"/>
          <w:sz w:val="24"/>
          <w:szCs w:val="24"/>
        </w:rPr>
        <w:t xml:space="preserve"> if found to have a criminal background finding known as a Crimes </w:t>
      </w:r>
      <w:proofErr w:type="gramStart"/>
      <w:r>
        <w:rPr>
          <w:rFonts w:eastAsia="Times New Roman"/>
          <w:sz w:val="24"/>
          <w:szCs w:val="24"/>
        </w:rPr>
        <w:t>Against</w:t>
      </w:r>
      <w:proofErr w:type="gramEnd"/>
      <w:r>
        <w:rPr>
          <w:rFonts w:eastAsia="Times New Roman"/>
          <w:sz w:val="24"/>
          <w:szCs w:val="24"/>
        </w:rPr>
        <w:t xml:space="preserve"> Persons. A complete list of these Crimes </w:t>
      </w:r>
      <w:proofErr w:type="gramStart"/>
      <w:r>
        <w:rPr>
          <w:rFonts w:eastAsia="Times New Roman"/>
          <w:sz w:val="24"/>
          <w:szCs w:val="24"/>
        </w:rPr>
        <w:t>Against</w:t>
      </w:r>
      <w:proofErr w:type="gramEnd"/>
      <w:r>
        <w:rPr>
          <w:rFonts w:eastAsia="Times New Roman"/>
          <w:sz w:val="24"/>
          <w:szCs w:val="24"/>
        </w:rPr>
        <w:t xml:space="preserve"> Persons can be found at </w:t>
      </w:r>
      <w:hyperlink r:id="rId7" w:history="1">
        <w:r>
          <w:rPr>
            <w:rStyle w:val="Hyperlink"/>
            <w:rFonts w:eastAsia="Times New Roman"/>
            <w:color w:val="0000FF"/>
            <w:sz w:val="24"/>
            <w:szCs w:val="24"/>
          </w:rPr>
          <w:t>https://health.mo.gov/safety/goodcausewaiver/crimes.php</w:t>
        </w:r>
      </w:hyperlink>
      <w:r>
        <w:rPr>
          <w:rFonts w:eastAsia="Times New Roman"/>
          <w:sz w:val="24"/>
          <w:szCs w:val="24"/>
        </w:rPr>
        <w:t xml:space="preserve">. 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 CSR 30.82.060(14) allows conditional employment for home health services.  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 CSR 30.82.060(14) states that any home health employee who has committed a crime listed in Section 192.2495.6 </w:t>
      </w:r>
      <w:proofErr w:type="spellStart"/>
      <w:r>
        <w:rPr>
          <w:rFonts w:eastAsia="Times New Roman"/>
          <w:sz w:val="24"/>
          <w:szCs w:val="24"/>
        </w:rPr>
        <w:t>RSMo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cannot be granted conditional employment.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Missouri House Bill 1350, effective August 28, 2018, changed the background screening disqualifiers from “any FCSR finding” to a defined list of findings</w:t>
      </w:r>
      <w:proofErr w:type="gramStart"/>
      <w:r>
        <w:rPr>
          <w:rFonts w:eastAsia="Times New Roman"/>
          <w:sz w:val="24"/>
          <w:szCs w:val="24"/>
        </w:rPr>
        <w:t xml:space="preserve">.  </w:t>
      </w:r>
      <w:proofErr w:type="gramEnd"/>
      <w:r>
        <w:rPr>
          <w:rFonts w:eastAsia="Times New Roman"/>
          <w:sz w:val="24"/>
          <w:szCs w:val="24"/>
        </w:rPr>
        <w:t xml:space="preserve">See Section 192.2495.7 </w:t>
      </w:r>
      <w:proofErr w:type="spellStart"/>
      <w:r>
        <w:rPr>
          <w:rFonts w:eastAsia="Times New Roman"/>
          <w:sz w:val="24"/>
          <w:szCs w:val="24"/>
        </w:rPr>
        <w:t>RSMo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.  </w:t>
      </w:r>
      <w:proofErr w:type="gramEnd"/>
      <w:r>
        <w:rPr>
          <w:rFonts w:eastAsia="Times New Roman"/>
          <w:sz w:val="24"/>
          <w:szCs w:val="24"/>
        </w:rPr>
        <w:t>A complete list of these Disqualifying Factors can be found at</w:t>
      </w:r>
    </w:p>
    <w:p w:rsidR="00B06DC2" w:rsidRDefault="00B06DC2" w:rsidP="00B06DC2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 </w:t>
      </w:r>
      <w:hyperlink r:id="rId8" w:history="1">
        <w:r>
          <w:rPr>
            <w:rStyle w:val="Hyperlink"/>
            <w:color w:val="0000FF"/>
            <w:sz w:val="24"/>
            <w:szCs w:val="24"/>
          </w:rPr>
          <w:t>https://health.mo.gov/safety/goodcausewaiver/disqualifying-factors.php</w:t>
        </w:r>
      </w:hyperlink>
      <w:r>
        <w:rPr>
          <w:sz w:val="24"/>
          <w:szCs w:val="24"/>
        </w:rPr>
        <w:t xml:space="preserve">.  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rPr>
          <w:sz w:val="24"/>
          <w:szCs w:val="24"/>
        </w:rPr>
      </w:pPr>
      <w:r>
        <w:rPr>
          <w:sz w:val="24"/>
          <w:szCs w:val="24"/>
        </w:rPr>
        <w:t xml:space="preserve">After a legal review of the above laws conducted by the </w:t>
      </w:r>
      <w:r>
        <w:rPr>
          <w:i/>
          <w:iCs/>
          <w:sz w:val="24"/>
          <w:szCs w:val="24"/>
        </w:rPr>
        <w:t>Division of Regulation and Licensure’s Office of General Council</w:t>
      </w:r>
      <w:r>
        <w:rPr>
          <w:sz w:val="24"/>
          <w:szCs w:val="24"/>
        </w:rPr>
        <w:t xml:space="preserve"> it has been determined the following procedure must be followed by home health agencies in order to be compliant:</w:t>
      </w:r>
    </w:p>
    <w:p w:rsidR="00B06DC2" w:rsidRDefault="00B06DC2" w:rsidP="00B06DC2">
      <w:pPr>
        <w:rPr>
          <w:sz w:val="24"/>
          <w:szCs w:val="24"/>
        </w:rPr>
      </w:pPr>
    </w:p>
    <w:p w:rsidR="00B06DC2" w:rsidRDefault="00B06DC2" w:rsidP="00B06DC2">
      <w:pPr>
        <w:numPr>
          <w:ilvl w:val="0"/>
          <w:numId w:val="2"/>
        </w:num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Employee Disqualification List (EDL) results must be obtained </w:t>
      </w:r>
      <w:r>
        <w:rPr>
          <w:rFonts w:eastAsia="Times New Roman"/>
          <w:b/>
          <w:bCs/>
          <w:color w:val="FF0000"/>
          <w:sz w:val="24"/>
          <w:szCs w:val="24"/>
        </w:rPr>
        <w:t>prior to hire</w:t>
      </w:r>
      <w:r>
        <w:rPr>
          <w:rFonts w:eastAsia="Times New Roman"/>
          <w:color w:val="FF0000"/>
          <w:sz w:val="24"/>
          <w:szCs w:val="24"/>
        </w:rPr>
        <w:t xml:space="preserve">. </w:t>
      </w:r>
    </w:p>
    <w:p w:rsidR="00B06DC2" w:rsidRDefault="00B06DC2" w:rsidP="00B06DC2">
      <w:pPr>
        <w:ind w:left="720"/>
        <w:rPr>
          <w:color w:val="FF0000"/>
          <w:sz w:val="24"/>
          <w:szCs w:val="24"/>
        </w:rPr>
      </w:pPr>
    </w:p>
    <w:p w:rsidR="00B06DC2" w:rsidRDefault="00B06DC2" w:rsidP="00B06DC2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Family Care Safety Registry (FCSR) results must be obtained </w:t>
      </w:r>
      <w:r>
        <w:rPr>
          <w:rFonts w:eastAsia="Times New Roman"/>
          <w:b/>
          <w:bCs/>
          <w:color w:val="FF0000"/>
          <w:sz w:val="24"/>
          <w:szCs w:val="24"/>
        </w:rPr>
        <w:t>prior to patient contact</w:t>
      </w:r>
      <w:proofErr w:type="gramStart"/>
      <w:r>
        <w:rPr>
          <w:rFonts w:eastAsia="Times New Roman"/>
          <w:sz w:val="24"/>
          <w:szCs w:val="24"/>
        </w:rPr>
        <w:t>.  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(If checking EDL through FCSR, results must be obtained </w:t>
      </w:r>
      <w:r>
        <w:rPr>
          <w:rFonts w:eastAsia="Times New Roman"/>
          <w:b/>
          <w:bCs/>
          <w:color w:val="FF0000"/>
          <w:sz w:val="24"/>
          <w:szCs w:val="24"/>
        </w:rPr>
        <w:t>prior to hire</w:t>
      </w:r>
      <w:r>
        <w:rPr>
          <w:rFonts w:eastAsia="Times New Roman"/>
          <w:b/>
          <w:bCs/>
          <w:sz w:val="24"/>
          <w:szCs w:val="24"/>
        </w:rPr>
        <w:t>.)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a FCSR finding shows the employee is on the EDL list – </w:t>
      </w:r>
      <w:r>
        <w:rPr>
          <w:b/>
          <w:bCs/>
          <w:color w:val="FF0000"/>
          <w:sz w:val="24"/>
          <w:szCs w:val="24"/>
        </w:rPr>
        <w:t>no Good Cause Waiver (GCW) is available</w:t>
      </w:r>
      <w:r>
        <w:rPr>
          <w:b/>
          <w:bCs/>
          <w:sz w:val="24"/>
          <w:szCs w:val="24"/>
        </w:rPr>
        <w:t xml:space="preserve">. </w:t>
      </w:r>
    </w:p>
    <w:p w:rsidR="00B06DC2" w:rsidRDefault="00B06DC2" w:rsidP="00B06DC2">
      <w:pPr>
        <w:ind w:left="1440"/>
        <w:rPr>
          <w:sz w:val="24"/>
          <w:szCs w:val="24"/>
        </w:rPr>
      </w:pPr>
    </w:p>
    <w:p w:rsidR="00B06DC2" w:rsidRDefault="00B06DC2" w:rsidP="00B06DC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a FCSR finding is a Class A or B felony violation of chapter 565,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 xml:space="preserve"> (Offenses Against the Person); chapter 566,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 xml:space="preserve"> (Sexual Offenses), or chapter 569,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 xml:space="preserve"> (Robbery, Arson, Burglary and Related Offenses), or any violation of subsection 3 of section 198.070,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 xml:space="preserve"> (required reporter that knowingly fails to report abuse or neglect of a resident of a residential care, intermediate care or skilled nursing facility) or section 568.020,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 xml:space="preserve"> (Incest); a GCW </w:t>
      </w:r>
      <w:r>
        <w:rPr>
          <w:b/>
          <w:bCs/>
          <w:color w:val="FF0000"/>
          <w:sz w:val="24"/>
          <w:szCs w:val="24"/>
        </w:rPr>
        <w:t>must be</w:t>
      </w:r>
      <w:r>
        <w:rPr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GRANTED</w:t>
      </w:r>
      <w:r>
        <w:rPr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prior to patient contact</w:t>
      </w:r>
      <w:r>
        <w:rPr>
          <w:b/>
          <w:bCs/>
          <w:sz w:val="24"/>
          <w:szCs w:val="24"/>
        </w:rPr>
        <w:t xml:space="preserve">. </w:t>
      </w:r>
    </w:p>
    <w:p w:rsidR="00B06DC2" w:rsidRDefault="00B06DC2" w:rsidP="00B06DC2">
      <w:pPr>
        <w:ind w:left="720"/>
        <w:rPr>
          <w:sz w:val="24"/>
          <w:szCs w:val="24"/>
        </w:rPr>
      </w:pPr>
    </w:p>
    <w:p w:rsidR="00B06DC2" w:rsidRDefault="00B06DC2" w:rsidP="00B06DC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 FCSR finding is one of the other disqualifiers, a GCW </w:t>
      </w:r>
      <w:r>
        <w:rPr>
          <w:b/>
          <w:bCs/>
          <w:color w:val="FF0000"/>
          <w:sz w:val="24"/>
          <w:szCs w:val="24"/>
        </w:rPr>
        <w:t>must be submitted</w:t>
      </w:r>
      <w:r>
        <w:rPr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but the agency may allow patient contact on a conditional basis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  </w:t>
      </w:r>
      <w:proofErr w:type="gramEnd"/>
      <w:r>
        <w:rPr>
          <w:b/>
          <w:bCs/>
          <w:color w:val="FF0000"/>
          <w:sz w:val="24"/>
          <w:szCs w:val="24"/>
        </w:rPr>
        <w:t xml:space="preserve">If the GCW is not granted the employee must then be terminated immediately. </w:t>
      </w:r>
    </w:p>
    <w:p w:rsidR="00B06DC2" w:rsidRDefault="00B06DC2">
      <w:bookmarkStart w:id="0" w:name="_GoBack"/>
      <w:bookmarkEnd w:id="0"/>
    </w:p>
    <w:sectPr w:rsidR="00B06DC2" w:rsidSect="00B06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32BF"/>
    <w:multiLevelType w:val="hybridMultilevel"/>
    <w:tmpl w:val="24D2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6B0"/>
    <w:multiLevelType w:val="hybridMultilevel"/>
    <w:tmpl w:val="31D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0EF7"/>
    <w:multiLevelType w:val="hybridMultilevel"/>
    <w:tmpl w:val="9F202CA4"/>
    <w:lvl w:ilvl="0" w:tplc="00F4D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1D36"/>
    <w:multiLevelType w:val="hybridMultilevel"/>
    <w:tmpl w:val="CC0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2"/>
    <w:rsid w:val="006D6EDA"/>
    <w:rsid w:val="00B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C2172-3523-4F1E-9EDD-C856B8A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D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o.gov/safety/goodcausewaiver/disqualifying-factor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mo.gov/safety/goodcausewaiver/crim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o.gov/safety/goodcausewaiver/disqualifying-factors.php" TargetMode="External"/><Relationship Id="rId5" Type="http://schemas.openxmlformats.org/officeDocument/2006/relationships/hyperlink" Target="https://health.mo.gov/safety/goodcausewaiver/crim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Willson</dc:creator>
  <cp:keywords/>
  <dc:description/>
  <cp:lastModifiedBy>Sarah Willson</cp:lastModifiedBy>
  <cp:revision>1</cp:revision>
  <dcterms:created xsi:type="dcterms:W3CDTF">2019-02-28T18:24:00Z</dcterms:created>
  <dcterms:modified xsi:type="dcterms:W3CDTF">2019-02-28T18:26:00Z</dcterms:modified>
</cp:coreProperties>
</file>