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8E08B" w14:textId="0F789AE8" w:rsidR="00B44B4B" w:rsidRDefault="00B44B4B" w:rsidP="00B44B4B">
      <w:pPr>
        <w:autoSpaceDE w:val="0"/>
        <w:autoSpaceDN w:val="0"/>
        <w:spacing w:after="120"/>
        <w:jc w:val="center"/>
        <w:rPr>
          <w:b/>
          <w:bCs/>
          <w:color w:val="FF0000"/>
        </w:rPr>
      </w:pPr>
      <w:bookmarkStart w:id="0" w:name="_GoBack"/>
      <w:bookmarkEnd w:id="0"/>
      <w:r>
        <w:rPr>
          <w:b/>
          <w:bCs/>
          <w:color w:val="FF0000"/>
        </w:rPr>
        <w:t>Verbatim from CMS Email</w:t>
      </w:r>
    </w:p>
    <w:p w14:paraId="0CA58052" w14:textId="139137DD" w:rsidR="00B44B4B" w:rsidRPr="00B44B4B" w:rsidRDefault="00B44B4B" w:rsidP="00B44B4B">
      <w:pPr>
        <w:autoSpaceDE w:val="0"/>
        <w:autoSpaceDN w:val="0"/>
        <w:spacing w:after="120"/>
        <w:jc w:val="center"/>
        <w:rPr>
          <w:b/>
          <w:bCs/>
          <w:color w:val="FF0000"/>
        </w:rPr>
      </w:pPr>
      <w:r w:rsidRPr="00B44B4B">
        <w:rPr>
          <w:b/>
          <w:bCs/>
          <w:color w:val="FF0000"/>
        </w:rPr>
        <w:t>Claims-Detail Reports for OP-32, OP-35 and OP-36</w:t>
      </w:r>
    </w:p>
    <w:p w14:paraId="277276DF" w14:textId="77777777" w:rsidR="00B44B4B" w:rsidRDefault="00B44B4B" w:rsidP="00B44B4B">
      <w:pPr>
        <w:autoSpaceDE w:val="0"/>
        <w:autoSpaceDN w:val="0"/>
        <w:spacing w:after="120"/>
      </w:pPr>
    </w:p>
    <w:p w14:paraId="7DD9208F" w14:textId="2CFE8BCF" w:rsidR="00B44B4B" w:rsidRDefault="00B44B4B" w:rsidP="00B44B4B">
      <w:pPr>
        <w:autoSpaceDE w:val="0"/>
        <w:autoSpaceDN w:val="0"/>
        <w:spacing w:after="120"/>
      </w:pPr>
      <w:r>
        <w:t>The Centers for Medicare &amp; Medicaid Services is providing facilities with a Claims-Detail Report (CDR) with information on the following three measures for calendar year (CY) 2021 payment determination:</w:t>
      </w:r>
    </w:p>
    <w:p w14:paraId="0DC2F98D" w14:textId="77777777" w:rsidR="00B44B4B" w:rsidRDefault="00B44B4B" w:rsidP="00B44B4B">
      <w:pPr>
        <w:pStyle w:val="ListParagraph"/>
        <w:numPr>
          <w:ilvl w:val="0"/>
          <w:numId w:val="1"/>
        </w:numPr>
        <w:rPr>
          <w:rFonts w:eastAsia="Times New Roman"/>
        </w:rPr>
      </w:pPr>
      <w:r>
        <w:rPr>
          <w:rFonts w:eastAsia="Times New Roman"/>
        </w:rPr>
        <w:t>OP-32: Facility 7-Day Risk-Standardized Hospital Visit Rate after Outpatient Colonoscopy measure (</w:t>
      </w:r>
      <w:r>
        <w:rPr>
          <w:rFonts w:eastAsia="Times New Roman"/>
          <w:b/>
          <w:bCs/>
        </w:rPr>
        <w:t>Colonoscopy measure</w:t>
      </w:r>
      <w:r>
        <w:rPr>
          <w:rFonts w:eastAsia="Times New Roman"/>
        </w:rPr>
        <w:t>)</w:t>
      </w:r>
    </w:p>
    <w:p w14:paraId="0BEC4368" w14:textId="4A8CD0C6" w:rsidR="00B44B4B" w:rsidRDefault="00B44B4B" w:rsidP="00B44B4B">
      <w:pPr>
        <w:pStyle w:val="ListParagraph"/>
        <w:numPr>
          <w:ilvl w:val="0"/>
          <w:numId w:val="1"/>
        </w:numPr>
        <w:rPr>
          <w:rFonts w:eastAsia="Times New Roman"/>
        </w:rPr>
      </w:pPr>
      <w:r>
        <w:rPr>
          <w:rFonts w:eastAsia="Times New Roman"/>
        </w:rPr>
        <w:t>OP-35: Admissions and Emergency Department (ED) Visits for Patients Receiving Outpatient Chemotherapy measure (</w:t>
      </w:r>
      <w:r>
        <w:rPr>
          <w:rFonts w:eastAsia="Times New Roman"/>
          <w:b/>
          <w:bCs/>
        </w:rPr>
        <w:t>Chemotherapy measure</w:t>
      </w:r>
      <w:r>
        <w:rPr>
          <w:rFonts w:eastAsia="Times New Roman"/>
        </w:rPr>
        <w:t>)</w:t>
      </w:r>
    </w:p>
    <w:p w14:paraId="01E2B491" w14:textId="77777777" w:rsidR="00B44B4B" w:rsidRDefault="00B44B4B" w:rsidP="00B44B4B">
      <w:pPr>
        <w:pStyle w:val="ListParagraph"/>
        <w:numPr>
          <w:ilvl w:val="0"/>
          <w:numId w:val="1"/>
        </w:numPr>
        <w:autoSpaceDE w:val="0"/>
        <w:autoSpaceDN w:val="0"/>
        <w:rPr>
          <w:rFonts w:eastAsia="Times New Roman"/>
        </w:rPr>
      </w:pPr>
      <w:r>
        <w:rPr>
          <w:rFonts w:eastAsia="Times New Roman"/>
        </w:rPr>
        <w:t>OP-36: Hospital Visits after Hospital Outpatient (HOPD) Surgery measure (</w:t>
      </w:r>
      <w:r>
        <w:rPr>
          <w:rFonts w:eastAsia="Times New Roman"/>
          <w:b/>
          <w:bCs/>
        </w:rPr>
        <w:t>HOPD surgery measure</w:t>
      </w:r>
      <w:r>
        <w:rPr>
          <w:rFonts w:eastAsia="Times New Roman"/>
        </w:rPr>
        <w:t>)</w:t>
      </w:r>
    </w:p>
    <w:p w14:paraId="7135D299" w14:textId="1E695981" w:rsidR="00B44B4B" w:rsidRDefault="00B44B4B" w:rsidP="00B44B4B">
      <w:pPr>
        <w:spacing w:before="240" w:after="120"/>
      </w:pPr>
      <w:r>
        <w:t>The CDR is a Microsoft Excel file that contains patient-level information for those who underwent qualifying colonoscopy, chemotherapy, and surgery procedures at your facility. This includes qualifying cases for the measure cohort, applied inclusion and exclusion criteria, and outcome information. The CDR is based on preliminary claims for procedures that occurred during the following reporting periods:</w:t>
      </w:r>
    </w:p>
    <w:tbl>
      <w:tblPr>
        <w:tblW w:w="5000" w:type="pct"/>
        <w:tblCellMar>
          <w:left w:w="0" w:type="dxa"/>
          <w:right w:w="0" w:type="dxa"/>
        </w:tblCellMar>
        <w:tblLook w:val="04A0" w:firstRow="1" w:lastRow="0" w:firstColumn="1" w:lastColumn="0" w:noHBand="0" w:noVBand="1"/>
      </w:tblPr>
      <w:tblGrid>
        <w:gridCol w:w="4755"/>
        <w:gridCol w:w="4605"/>
      </w:tblGrid>
      <w:tr w:rsidR="00B44B4B" w14:paraId="39CD07BF" w14:textId="77777777" w:rsidTr="00B44B4B">
        <w:trPr>
          <w:cantSplit/>
        </w:trPr>
        <w:tc>
          <w:tcPr>
            <w:tcW w:w="2540" w:type="pct"/>
            <w:shd w:val="clear" w:color="auto" w:fill="6C6F70"/>
            <w:tcMar>
              <w:top w:w="0" w:type="dxa"/>
              <w:left w:w="115" w:type="dxa"/>
              <w:bottom w:w="0" w:type="dxa"/>
              <w:right w:w="115" w:type="dxa"/>
            </w:tcMar>
            <w:vAlign w:val="center"/>
            <w:hideMark/>
          </w:tcPr>
          <w:p w14:paraId="38DD3311" w14:textId="77777777" w:rsidR="00B44B4B" w:rsidRDefault="00B44B4B">
            <w:pPr>
              <w:spacing w:before="120" w:line="360" w:lineRule="auto"/>
              <w:contextualSpacing/>
              <w:rPr>
                <w:b/>
                <w:bCs/>
                <w:color w:val="FFFFFF"/>
              </w:rPr>
            </w:pPr>
            <w:r>
              <w:rPr>
                <w:b/>
                <w:bCs/>
                <w:color w:val="FFFFFF"/>
                <w:position w:val="6"/>
              </w:rPr>
              <w:t>Measure</w:t>
            </w:r>
          </w:p>
        </w:tc>
        <w:tc>
          <w:tcPr>
            <w:tcW w:w="2460" w:type="pct"/>
            <w:shd w:val="clear" w:color="auto" w:fill="6C6F70"/>
            <w:tcMar>
              <w:top w:w="0" w:type="dxa"/>
              <w:left w:w="115" w:type="dxa"/>
              <w:bottom w:w="0" w:type="dxa"/>
              <w:right w:w="115" w:type="dxa"/>
            </w:tcMar>
            <w:vAlign w:val="bottom"/>
            <w:hideMark/>
          </w:tcPr>
          <w:p w14:paraId="18FCEAEB" w14:textId="77777777" w:rsidR="00B44B4B" w:rsidRDefault="00B44B4B">
            <w:pPr>
              <w:spacing w:before="120" w:line="360" w:lineRule="auto"/>
              <w:contextualSpacing/>
              <w:rPr>
                <w:b/>
                <w:bCs/>
                <w:color w:val="FFFFFF"/>
              </w:rPr>
            </w:pPr>
            <w:r>
              <w:rPr>
                <w:b/>
                <w:bCs/>
                <w:color w:val="FFFFFF"/>
                <w:position w:val="6"/>
              </w:rPr>
              <w:t>Reporting Period</w:t>
            </w:r>
          </w:p>
        </w:tc>
      </w:tr>
      <w:tr w:rsidR="00B44B4B" w14:paraId="1316DCA2" w14:textId="77777777" w:rsidTr="00B44B4B">
        <w:tc>
          <w:tcPr>
            <w:tcW w:w="2540" w:type="pct"/>
            <w:tcMar>
              <w:top w:w="0" w:type="dxa"/>
              <w:left w:w="115" w:type="dxa"/>
              <w:bottom w:w="0" w:type="dxa"/>
              <w:right w:w="115" w:type="dxa"/>
            </w:tcMar>
            <w:hideMark/>
          </w:tcPr>
          <w:p w14:paraId="09AF0414" w14:textId="77777777" w:rsidR="00B44B4B" w:rsidRDefault="00B44B4B">
            <w:pPr>
              <w:spacing w:before="120" w:line="360" w:lineRule="auto"/>
              <w:contextualSpacing/>
              <w:rPr>
                <w:b/>
                <w:bCs/>
              </w:rPr>
            </w:pPr>
            <w:r>
              <w:t>Colonoscopy Measure (OP-32)</w:t>
            </w:r>
          </w:p>
        </w:tc>
        <w:tc>
          <w:tcPr>
            <w:tcW w:w="2460" w:type="pct"/>
            <w:tcMar>
              <w:top w:w="0" w:type="dxa"/>
              <w:left w:w="115" w:type="dxa"/>
              <w:bottom w:w="0" w:type="dxa"/>
              <w:right w:w="115" w:type="dxa"/>
            </w:tcMar>
            <w:hideMark/>
          </w:tcPr>
          <w:p w14:paraId="1A3C3701" w14:textId="77777777" w:rsidR="00B44B4B" w:rsidRDefault="00B44B4B">
            <w:pPr>
              <w:spacing w:before="120" w:line="360" w:lineRule="auto"/>
              <w:contextualSpacing/>
            </w:pPr>
            <w:r>
              <w:t>January 1, 2017 – November 30, 2019</w:t>
            </w:r>
          </w:p>
        </w:tc>
      </w:tr>
      <w:tr w:rsidR="00B44B4B" w14:paraId="641CF0F6" w14:textId="77777777" w:rsidTr="00B44B4B">
        <w:tc>
          <w:tcPr>
            <w:tcW w:w="2540" w:type="pct"/>
            <w:tcMar>
              <w:top w:w="0" w:type="dxa"/>
              <w:left w:w="115" w:type="dxa"/>
              <w:bottom w:w="0" w:type="dxa"/>
              <w:right w:w="115" w:type="dxa"/>
            </w:tcMar>
            <w:hideMark/>
          </w:tcPr>
          <w:p w14:paraId="6F1B0053" w14:textId="77777777" w:rsidR="00B44B4B" w:rsidRDefault="00B44B4B">
            <w:pPr>
              <w:spacing w:before="120" w:after="120" w:line="360" w:lineRule="auto"/>
              <w:contextualSpacing/>
              <w:rPr>
                <w:b/>
                <w:bCs/>
              </w:rPr>
            </w:pPr>
            <w:r>
              <w:t xml:space="preserve">Chemotherapy Measure (OP-35) </w:t>
            </w:r>
          </w:p>
        </w:tc>
        <w:tc>
          <w:tcPr>
            <w:tcW w:w="2460" w:type="pct"/>
            <w:tcMar>
              <w:top w:w="0" w:type="dxa"/>
              <w:left w:w="115" w:type="dxa"/>
              <w:bottom w:w="0" w:type="dxa"/>
              <w:right w:w="115" w:type="dxa"/>
            </w:tcMar>
            <w:hideMark/>
          </w:tcPr>
          <w:p w14:paraId="79E8694F" w14:textId="77777777" w:rsidR="00B44B4B" w:rsidRDefault="00B44B4B">
            <w:pPr>
              <w:spacing w:before="120" w:line="360" w:lineRule="auto"/>
              <w:contextualSpacing/>
            </w:pPr>
            <w:r>
              <w:t>January 1, 2019 – November 30, 2019</w:t>
            </w:r>
          </w:p>
        </w:tc>
      </w:tr>
      <w:tr w:rsidR="00B44B4B" w14:paraId="6FB04B65" w14:textId="77777777" w:rsidTr="00B44B4B">
        <w:tc>
          <w:tcPr>
            <w:tcW w:w="2540" w:type="pct"/>
            <w:tcBorders>
              <w:top w:val="nil"/>
              <w:left w:val="nil"/>
              <w:bottom w:val="single" w:sz="8" w:space="0" w:color="auto"/>
              <w:right w:val="nil"/>
            </w:tcBorders>
            <w:tcMar>
              <w:top w:w="0" w:type="dxa"/>
              <w:left w:w="115" w:type="dxa"/>
              <w:bottom w:w="0" w:type="dxa"/>
              <w:right w:w="115" w:type="dxa"/>
            </w:tcMar>
            <w:hideMark/>
          </w:tcPr>
          <w:p w14:paraId="4554F18C" w14:textId="77777777" w:rsidR="00B44B4B" w:rsidRDefault="00B44B4B">
            <w:pPr>
              <w:spacing w:before="120" w:line="360" w:lineRule="auto"/>
              <w:contextualSpacing/>
            </w:pPr>
            <w:r>
              <w:t>HOPD Surgery Measure (OP-36)</w:t>
            </w:r>
          </w:p>
        </w:tc>
        <w:tc>
          <w:tcPr>
            <w:tcW w:w="2460" w:type="pct"/>
            <w:tcBorders>
              <w:top w:val="nil"/>
              <w:left w:val="nil"/>
              <w:bottom w:val="single" w:sz="8" w:space="0" w:color="auto"/>
              <w:right w:val="nil"/>
            </w:tcBorders>
            <w:tcMar>
              <w:top w:w="0" w:type="dxa"/>
              <w:left w:w="115" w:type="dxa"/>
              <w:bottom w:w="0" w:type="dxa"/>
              <w:right w:w="115" w:type="dxa"/>
            </w:tcMar>
            <w:hideMark/>
          </w:tcPr>
          <w:p w14:paraId="66C35C14" w14:textId="77777777" w:rsidR="00B44B4B" w:rsidRDefault="00B44B4B">
            <w:pPr>
              <w:spacing w:before="120" w:line="360" w:lineRule="auto"/>
              <w:contextualSpacing/>
            </w:pPr>
            <w:r>
              <w:t>January 1, 2019 – November 30, 2019</w:t>
            </w:r>
          </w:p>
        </w:tc>
      </w:tr>
    </w:tbl>
    <w:p w14:paraId="5949639E" w14:textId="125D8541" w:rsidR="00B44B4B" w:rsidRDefault="00B44B4B" w:rsidP="00B44B4B">
      <w:pPr>
        <w:spacing w:before="240" w:after="240"/>
      </w:pPr>
      <w:r w:rsidRPr="0031318E">
        <w:t xml:space="preserve">The CDR </w:t>
      </w:r>
      <w:r>
        <w:t>provides facilities with an opportunity to improve the quality of care provided to patients receiving chemotherapy treatments, colonoscopies, and outpatient surgery procedures prior to final measure calculation and public reporting of measure results, which CMS anticipates occurring in January 2021, or shortly thereafter. CDRs do not include any measure calculations. CMS encourages facilities to thoroughly review their CDR.</w:t>
      </w:r>
    </w:p>
    <w:p w14:paraId="6F7F7D09" w14:textId="77777777" w:rsidR="00B44B4B" w:rsidRDefault="00B44B4B" w:rsidP="00B44B4B">
      <w:pPr>
        <w:spacing w:after="120"/>
      </w:pPr>
      <w:r>
        <w:t xml:space="preserve">Detailed information about the measures is available on </w:t>
      </w:r>
      <w:r>
        <w:rPr>
          <w:i/>
          <w:iCs/>
        </w:rPr>
        <w:t>QualityNet</w:t>
      </w:r>
      <w:r>
        <w:t xml:space="preserve">: </w:t>
      </w:r>
    </w:p>
    <w:p w14:paraId="08ECBDE8" w14:textId="77777777" w:rsidR="00B44B4B" w:rsidRDefault="00B44B4B" w:rsidP="00B44B4B">
      <w:pPr>
        <w:rPr>
          <w:b/>
          <w:bCs/>
        </w:rPr>
      </w:pPr>
      <w:r>
        <w:rPr>
          <w:b/>
          <w:bCs/>
        </w:rPr>
        <w:t xml:space="preserve">Colonoscopy Measure (OP-32) </w:t>
      </w:r>
    </w:p>
    <w:p w14:paraId="7D3E15AA" w14:textId="77777777" w:rsidR="00B44B4B" w:rsidRDefault="009756AB" w:rsidP="00B44B4B">
      <w:pPr>
        <w:spacing w:after="120"/>
        <w:rPr>
          <w:b/>
          <w:bCs/>
        </w:rPr>
      </w:pPr>
      <w:hyperlink r:id="rId5" w:history="1">
        <w:r w:rsidR="00B44B4B">
          <w:rPr>
            <w:rStyle w:val="Hyperlink"/>
          </w:rPr>
          <w:t>www.qualitynet.org&gt; Hospitals-Outpatient&gt;Measures&gt;Colonoscopy Measure</w:t>
        </w:r>
      </w:hyperlink>
    </w:p>
    <w:p w14:paraId="51D2174A" w14:textId="77777777" w:rsidR="00B44B4B" w:rsidRDefault="00B44B4B" w:rsidP="00B44B4B">
      <w:pPr>
        <w:rPr>
          <w:b/>
          <w:bCs/>
        </w:rPr>
      </w:pPr>
      <w:r>
        <w:rPr>
          <w:b/>
          <w:bCs/>
        </w:rPr>
        <w:t>Chemotherapy Measure (OP-35)</w:t>
      </w:r>
    </w:p>
    <w:p w14:paraId="03D44788" w14:textId="77777777" w:rsidR="00B44B4B" w:rsidRDefault="009756AB" w:rsidP="00B44B4B">
      <w:pPr>
        <w:pStyle w:val="ListParagraph"/>
        <w:ind w:left="0"/>
        <w:rPr>
          <w:rStyle w:val="Hyperlink"/>
        </w:rPr>
      </w:pPr>
      <w:hyperlink r:id="rId6" w:history="1">
        <w:r w:rsidR="00B44B4B">
          <w:rPr>
            <w:rStyle w:val="Hyperlink"/>
          </w:rPr>
          <w:t>www.qualitynet.org&gt;Hospitals-Outpatient&gt;Measures&gt;Chemotherapy Measure</w:t>
        </w:r>
      </w:hyperlink>
    </w:p>
    <w:p w14:paraId="01C8D120" w14:textId="77777777" w:rsidR="00B44B4B" w:rsidRDefault="00B44B4B" w:rsidP="00B44B4B">
      <w:pPr>
        <w:rPr>
          <w:b/>
          <w:bCs/>
        </w:rPr>
      </w:pPr>
      <w:r>
        <w:rPr>
          <w:b/>
          <w:bCs/>
        </w:rPr>
        <w:t>HOPD Surgery Measure (OP-36)</w:t>
      </w:r>
    </w:p>
    <w:p w14:paraId="100B6C41" w14:textId="77777777" w:rsidR="00B44B4B" w:rsidRDefault="009756AB" w:rsidP="00B44B4B">
      <w:pPr>
        <w:pStyle w:val="ListParagraph"/>
        <w:ind w:left="0"/>
      </w:pPr>
      <w:hyperlink r:id="rId7" w:history="1">
        <w:r w:rsidR="00B44B4B">
          <w:rPr>
            <w:rStyle w:val="Hyperlink"/>
          </w:rPr>
          <w:t>www.qualitynet.org&gt;Hospitals-Outpatient&gt;Measures&gt;Surgery Measure</w:t>
        </w:r>
      </w:hyperlink>
    </w:p>
    <w:p w14:paraId="2144B2DD" w14:textId="77777777" w:rsidR="00B44B4B" w:rsidRDefault="00B44B4B" w:rsidP="00B44B4B">
      <w:pPr>
        <w:spacing w:before="240" w:after="240"/>
        <w:rPr>
          <w:b/>
          <w:bCs/>
          <w:u w:val="single"/>
        </w:rPr>
      </w:pPr>
      <w:r>
        <w:rPr>
          <w:b/>
          <w:bCs/>
          <w:u w:val="single"/>
        </w:rPr>
        <w:t>Accessing Your Claims-Detail Report</w:t>
      </w:r>
    </w:p>
    <w:p w14:paraId="638E8A12" w14:textId="77777777" w:rsidR="00B44B4B" w:rsidRDefault="00B44B4B" w:rsidP="00B44B4B">
      <w:pPr>
        <w:spacing w:after="120"/>
      </w:pPr>
      <w:bookmarkStart w:id="1" w:name="_Hlk12369178"/>
      <w:r>
        <w:rPr>
          <w:b/>
          <w:bCs/>
          <w:i/>
          <w:iCs/>
        </w:rPr>
        <w:t>Please note the CDR is available for download through the QualityNet Secure Portal</w:t>
      </w:r>
      <w:r>
        <w:rPr>
          <w:b/>
          <w:bCs/>
        </w:rPr>
        <w:t>.</w:t>
      </w:r>
      <w:r>
        <w:t xml:space="preserve"> Registered users should be able to access their accounts and CDRs by logging into the </w:t>
      </w:r>
      <w:proofErr w:type="gramStart"/>
      <w:r>
        <w:t xml:space="preserve">Portal, </w:t>
      </w:r>
      <w:r>
        <w:lastRenderedPageBreak/>
        <w:t>and</w:t>
      </w:r>
      <w:proofErr w:type="gramEnd"/>
      <w:r>
        <w:t xml:space="preserve"> clicking </w:t>
      </w:r>
      <w:r>
        <w:rPr>
          <w:i/>
          <w:iCs/>
        </w:rPr>
        <w:t>Secure File Transfer</w:t>
      </w:r>
      <w:r>
        <w:t xml:space="preserve"> from the top right corner of the screen. From here, users can view their mailbox and select </w:t>
      </w:r>
      <w:r>
        <w:rPr>
          <w:i/>
          <w:iCs/>
        </w:rPr>
        <w:t>Inbox</w:t>
      </w:r>
      <w:r>
        <w:t xml:space="preserve"> to access their facility’s CDR. If facilities have problems accessing their CDR, they should contact the </w:t>
      </w:r>
      <w:r>
        <w:rPr>
          <w:i/>
          <w:iCs/>
        </w:rPr>
        <w:t>QualityNet</w:t>
      </w:r>
      <w:r>
        <w:t xml:space="preserve"> Service Desk at </w:t>
      </w:r>
      <w:hyperlink r:id="rId8" w:history="1">
        <w:r>
          <w:rPr>
            <w:rStyle w:val="Hyperlink"/>
          </w:rPr>
          <w:t>qnetsupport@hcqis.org</w:t>
        </w:r>
      </w:hyperlink>
      <w:r>
        <w:t>.</w:t>
      </w:r>
    </w:p>
    <w:p w14:paraId="6E53C0CF" w14:textId="77777777" w:rsidR="00B44B4B" w:rsidRDefault="00B44B4B" w:rsidP="00B44B4B">
      <w:pPr>
        <w:spacing w:after="240"/>
      </w:pPr>
      <w:r>
        <w:t xml:space="preserve">Facilities can register for a </w:t>
      </w:r>
      <w:r>
        <w:rPr>
          <w:i/>
          <w:iCs/>
        </w:rPr>
        <w:t>QualityNet</w:t>
      </w:r>
      <w:r>
        <w:t xml:space="preserve"> account and gain Secure Portal access by visiting the </w:t>
      </w:r>
      <w:r>
        <w:rPr>
          <w:i/>
          <w:iCs/>
        </w:rPr>
        <w:t>QualityNet</w:t>
      </w:r>
      <w:r>
        <w:t xml:space="preserve"> website (</w:t>
      </w:r>
      <w:hyperlink r:id="rId9" w:history="1">
        <w:r>
          <w:rPr>
            <w:rStyle w:val="Hyperlink"/>
          </w:rPr>
          <w:t>www.qualitynet.org</w:t>
        </w:r>
      </w:hyperlink>
      <w:r>
        <w:t xml:space="preserve">), and selecting </w:t>
      </w:r>
      <w:r>
        <w:rPr>
          <w:i/>
          <w:iCs/>
        </w:rPr>
        <w:t xml:space="preserve">Portal Resources </w:t>
      </w:r>
      <w:r>
        <w:t xml:space="preserve">in the upper right-hand corner. Under </w:t>
      </w:r>
      <w:r>
        <w:rPr>
          <w:i/>
          <w:iCs/>
        </w:rPr>
        <w:t>Secure Portal User Guides and Training</w:t>
      </w:r>
      <w:r>
        <w:t>, select:</w:t>
      </w:r>
    </w:p>
    <w:p w14:paraId="1E18B119" w14:textId="77777777" w:rsidR="00B44B4B" w:rsidRDefault="00B44B4B" w:rsidP="00B44B4B">
      <w:pPr>
        <w:pStyle w:val="ListParagraph"/>
        <w:numPr>
          <w:ilvl w:val="0"/>
          <w:numId w:val="2"/>
        </w:numPr>
        <w:spacing w:after="240"/>
        <w:ind w:left="720"/>
      </w:pPr>
      <w:r>
        <w:t xml:space="preserve">The </w:t>
      </w:r>
      <w:r>
        <w:rPr>
          <w:i/>
          <w:iCs/>
        </w:rPr>
        <w:t>Non-QualityNet account holders</w:t>
      </w:r>
      <w:r>
        <w:t xml:space="preserve"> link to open the PDF for further instructions on registering for a </w:t>
      </w:r>
      <w:r>
        <w:rPr>
          <w:i/>
          <w:iCs/>
        </w:rPr>
        <w:t>QualityNet</w:t>
      </w:r>
      <w:r>
        <w:t xml:space="preserve"> account.</w:t>
      </w:r>
    </w:p>
    <w:p w14:paraId="344ED523" w14:textId="77777777" w:rsidR="00B44B4B" w:rsidRDefault="00B44B4B" w:rsidP="00B44B4B">
      <w:pPr>
        <w:pStyle w:val="ListParagraph"/>
        <w:numPr>
          <w:ilvl w:val="0"/>
          <w:numId w:val="2"/>
        </w:numPr>
        <w:spacing w:after="240"/>
        <w:ind w:left="720"/>
      </w:pPr>
      <w:r>
        <w:t xml:space="preserve">The </w:t>
      </w:r>
      <w:r>
        <w:rPr>
          <w:i/>
          <w:iCs/>
        </w:rPr>
        <w:t>QualityNet account holders</w:t>
      </w:r>
      <w:r>
        <w:t xml:space="preserve"> link to open the PDF for further instructions in gaining Secure Portal access.</w:t>
      </w:r>
    </w:p>
    <w:bookmarkEnd w:id="1"/>
    <w:p w14:paraId="4F537D60" w14:textId="77777777" w:rsidR="00B44B4B" w:rsidRDefault="00B44B4B" w:rsidP="00B44B4B">
      <w:pPr>
        <w:autoSpaceDE w:val="0"/>
        <w:autoSpaceDN w:val="0"/>
        <w:spacing w:after="240"/>
        <w:rPr>
          <w:b/>
          <w:bCs/>
          <w:u w:val="single"/>
        </w:rPr>
      </w:pPr>
      <w:r>
        <w:rPr>
          <w:b/>
          <w:bCs/>
          <w:u w:val="single"/>
        </w:rPr>
        <w:t>Other Notes</w:t>
      </w:r>
    </w:p>
    <w:p w14:paraId="50FDA7A9" w14:textId="77777777" w:rsidR="00B44B4B" w:rsidRDefault="00B44B4B" w:rsidP="00B44B4B">
      <w:pPr>
        <w:pStyle w:val="ListParagraph"/>
        <w:numPr>
          <w:ilvl w:val="0"/>
          <w:numId w:val="3"/>
        </w:numPr>
        <w:rPr>
          <w:rFonts w:eastAsia="Times New Roman"/>
        </w:rPr>
      </w:pPr>
      <w:r>
        <w:rPr>
          <w:rFonts w:eastAsia="Times New Roman"/>
        </w:rPr>
        <w:t xml:space="preserve">Your facility will </w:t>
      </w:r>
      <w:r>
        <w:rPr>
          <w:rFonts w:eastAsia="Times New Roman"/>
          <w:u w:val="single"/>
        </w:rPr>
        <w:t>not</w:t>
      </w:r>
      <w:r>
        <w:rPr>
          <w:rFonts w:eastAsia="Times New Roman"/>
        </w:rPr>
        <w:t xml:space="preserve"> receive a CDR if: </w:t>
      </w:r>
    </w:p>
    <w:p w14:paraId="2E15EBCB" w14:textId="77777777" w:rsidR="00B44B4B" w:rsidRDefault="00B44B4B" w:rsidP="00B44B4B">
      <w:pPr>
        <w:pStyle w:val="ListParagraph"/>
        <w:numPr>
          <w:ilvl w:val="1"/>
          <w:numId w:val="3"/>
        </w:numPr>
        <w:spacing w:before="120"/>
        <w:rPr>
          <w:rFonts w:eastAsia="Times New Roman"/>
        </w:rPr>
      </w:pPr>
      <w:r>
        <w:rPr>
          <w:rFonts w:eastAsia="Times New Roman"/>
        </w:rPr>
        <w:t>Your facility was not open during the CDR reporting period;</w:t>
      </w:r>
    </w:p>
    <w:p w14:paraId="1A0385B8" w14:textId="77777777" w:rsidR="00B44B4B" w:rsidRDefault="00B44B4B" w:rsidP="00B44B4B">
      <w:pPr>
        <w:pStyle w:val="ListParagraph"/>
        <w:numPr>
          <w:ilvl w:val="1"/>
          <w:numId w:val="3"/>
        </w:numPr>
        <w:rPr>
          <w:rFonts w:eastAsia="Times New Roman"/>
        </w:rPr>
      </w:pPr>
      <w:r>
        <w:rPr>
          <w:rFonts w:eastAsia="Times New Roman"/>
        </w:rPr>
        <w:t>Your facility did not have any eligible cases for the measures during the CDR reporting period; and/or</w:t>
      </w:r>
    </w:p>
    <w:p w14:paraId="142D9573" w14:textId="77777777" w:rsidR="00B44B4B" w:rsidRDefault="00B44B4B" w:rsidP="00B44B4B">
      <w:pPr>
        <w:pStyle w:val="ListParagraph"/>
        <w:numPr>
          <w:ilvl w:val="1"/>
          <w:numId w:val="3"/>
        </w:numPr>
        <w:rPr>
          <w:rFonts w:eastAsia="Times New Roman"/>
        </w:rPr>
      </w:pPr>
      <w:r>
        <w:rPr>
          <w:rFonts w:eastAsia="Times New Roman"/>
        </w:rPr>
        <w:t xml:space="preserve">Your facility did not have a </w:t>
      </w:r>
      <w:r>
        <w:rPr>
          <w:rFonts w:eastAsia="Times New Roman"/>
          <w:i/>
          <w:iCs/>
        </w:rPr>
        <w:t>QualityNet</w:t>
      </w:r>
      <w:r>
        <w:rPr>
          <w:rFonts w:eastAsia="Times New Roman"/>
        </w:rPr>
        <w:t xml:space="preserve"> Secure Portal user account with the appropriate designated roles.</w:t>
      </w:r>
    </w:p>
    <w:p w14:paraId="33CB19B2" w14:textId="77777777" w:rsidR="00B44B4B" w:rsidRDefault="00B44B4B" w:rsidP="00B44B4B">
      <w:pPr>
        <w:pStyle w:val="ListParagraph"/>
        <w:numPr>
          <w:ilvl w:val="0"/>
          <w:numId w:val="3"/>
        </w:numPr>
        <w:rPr>
          <w:rFonts w:eastAsia="Times New Roman"/>
        </w:rPr>
      </w:pPr>
      <w:bookmarkStart w:id="2" w:name="_Hlk522721744"/>
      <w:r>
        <w:rPr>
          <w:rFonts w:eastAsia="Times New Roman"/>
        </w:rPr>
        <w:t xml:space="preserve">Please refer to the Claims-Based Measure Lookup Tool to identify if your facility has a CDR bundle available for download. The lookup tool can be found at: </w:t>
      </w:r>
      <w:hyperlink r:id="rId10" w:history="1">
        <w:r>
          <w:rPr>
            <w:rStyle w:val="Hyperlink"/>
            <w:rFonts w:eastAsia="Times New Roman"/>
          </w:rPr>
          <w:t>https://www.qualityreportingcenter.com/en/hospital-oqr-program/data-dashboard/lookup-tools/</w:t>
        </w:r>
      </w:hyperlink>
      <w:r>
        <w:rPr>
          <w:rFonts w:eastAsia="Times New Roman"/>
        </w:rPr>
        <w:t xml:space="preserve"> </w:t>
      </w:r>
      <w:bookmarkEnd w:id="2"/>
    </w:p>
    <w:p w14:paraId="11A58EFE" w14:textId="77777777" w:rsidR="00B44B4B" w:rsidRDefault="00B44B4B" w:rsidP="00B44B4B">
      <w:pPr>
        <w:pStyle w:val="ListParagraph"/>
        <w:numPr>
          <w:ilvl w:val="0"/>
          <w:numId w:val="3"/>
        </w:numPr>
        <w:spacing w:before="120"/>
        <w:ind w:right="302"/>
        <w:rPr>
          <w:rFonts w:eastAsia="Times New Roman"/>
          <w:color w:val="000000"/>
          <w:spacing w:val="1"/>
        </w:rPr>
      </w:pPr>
      <w:r>
        <w:rPr>
          <w:rFonts w:eastAsia="Times New Roman"/>
          <w:color w:val="000000"/>
          <w:spacing w:val="1"/>
        </w:rPr>
        <w:t xml:space="preserve">A mock CDR with simulated facility-specific data is available on </w:t>
      </w:r>
      <w:r>
        <w:rPr>
          <w:rFonts w:eastAsia="Times New Roman"/>
          <w:i/>
          <w:iCs/>
          <w:color w:val="000000"/>
          <w:spacing w:val="1"/>
        </w:rPr>
        <w:t>QualityNet</w:t>
      </w:r>
      <w:r>
        <w:rPr>
          <w:rFonts w:eastAsia="Times New Roman"/>
          <w:color w:val="000000"/>
          <w:spacing w:val="1"/>
        </w:rPr>
        <w:t xml:space="preserve"> at:</w:t>
      </w:r>
      <w:r>
        <w:rPr>
          <w:rFonts w:eastAsia="Times New Roman"/>
          <w:color w:val="000000"/>
        </w:rPr>
        <w:t xml:space="preserve"> </w:t>
      </w:r>
    </w:p>
    <w:p w14:paraId="176B6B23" w14:textId="77777777" w:rsidR="00B44B4B" w:rsidRDefault="00B44B4B" w:rsidP="00B44B4B">
      <w:pPr>
        <w:pStyle w:val="ListParagraph"/>
        <w:numPr>
          <w:ilvl w:val="1"/>
          <w:numId w:val="3"/>
        </w:numPr>
        <w:ind w:right="302"/>
        <w:rPr>
          <w:rFonts w:eastAsia="Times New Roman"/>
          <w:color w:val="000000"/>
        </w:rPr>
      </w:pPr>
      <w:r>
        <w:rPr>
          <w:rStyle w:val="Hyperlink"/>
          <w:rFonts w:eastAsia="Times New Roman"/>
          <w:b/>
          <w:bCs/>
          <w:color w:val="auto"/>
          <w:u w:val="none"/>
        </w:rPr>
        <w:t>Colonoscopy Measure (OP-32)</w:t>
      </w:r>
      <w:r>
        <w:rPr>
          <w:rStyle w:val="Hyperlink"/>
          <w:rFonts w:eastAsia="Times New Roman"/>
          <w:color w:val="auto"/>
          <w:u w:val="none"/>
        </w:rPr>
        <w:t xml:space="preserve">: </w:t>
      </w:r>
      <w:hyperlink r:id="rId11" w:history="1">
        <w:r>
          <w:rPr>
            <w:rStyle w:val="Hyperlink"/>
            <w:rFonts w:eastAsia="Times New Roman"/>
          </w:rPr>
          <w:t>www.qualitynet.org&gt;Hospitals –Outpatient&gt;Measures&gt;Colonoscopy Measure&gt;Learn more&gt;Reports</w:t>
        </w:r>
      </w:hyperlink>
    </w:p>
    <w:p w14:paraId="0EF9CE6C" w14:textId="77777777" w:rsidR="00B44B4B" w:rsidRDefault="00B44B4B" w:rsidP="00B44B4B">
      <w:pPr>
        <w:pStyle w:val="ListParagraph"/>
        <w:numPr>
          <w:ilvl w:val="1"/>
          <w:numId w:val="3"/>
        </w:numPr>
        <w:ind w:right="302"/>
        <w:rPr>
          <w:rFonts w:eastAsia="Times New Roman"/>
          <w:color w:val="000000"/>
        </w:rPr>
      </w:pPr>
      <w:r>
        <w:rPr>
          <w:rStyle w:val="Hyperlink"/>
          <w:rFonts w:eastAsia="Times New Roman"/>
          <w:b/>
          <w:bCs/>
          <w:color w:val="auto"/>
          <w:u w:val="none"/>
        </w:rPr>
        <w:t>Chemotherapy Measure (OP-35)</w:t>
      </w:r>
      <w:r>
        <w:rPr>
          <w:rStyle w:val="Hyperlink"/>
          <w:rFonts w:eastAsia="Times New Roman"/>
          <w:color w:val="auto"/>
          <w:u w:val="none"/>
        </w:rPr>
        <w:t xml:space="preserve">: </w:t>
      </w:r>
      <w:hyperlink r:id="rId12" w:history="1">
        <w:r>
          <w:rPr>
            <w:rStyle w:val="Hyperlink"/>
            <w:rFonts w:eastAsia="Times New Roman"/>
          </w:rPr>
          <w:t>www.qualitynet.org&gt;Hospitals – Outpatient&gt;Measures &gt;Chemotherapy Measure&gt;Learn more&gt;Reports</w:t>
        </w:r>
      </w:hyperlink>
    </w:p>
    <w:p w14:paraId="2070BB43" w14:textId="77777777" w:rsidR="00B44B4B" w:rsidRDefault="00B44B4B" w:rsidP="00B44B4B">
      <w:pPr>
        <w:pStyle w:val="ListParagraph"/>
        <w:numPr>
          <w:ilvl w:val="1"/>
          <w:numId w:val="3"/>
        </w:numPr>
        <w:ind w:right="302"/>
        <w:rPr>
          <w:rFonts w:eastAsia="Times New Roman"/>
          <w:color w:val="000000"/>
        </w:rPr>
      </w:pPr>
      <w:r>
        <w:rPr>
          <w:rStyle w:val="Hyperlink"/>
          <w:rFonts w:eastAsia="Times New Roman"/>
          <w:b/>
          <w:bCs/>
          <w:color w:val="auto"/>
          <w:u w:val="none"/>
        </w:rPr>
        <w:t>HOPD Surgery Measure (OP-36)</w:t>
      </w:r>
      <w:r>
        <w:rPr>
          <w:rStyle w:val="Hyperlink"/>
          <w:rFonts w:eastAsia="Times New Roman"/>
          <w:color w:val="auto"/>
          <w:u w:val="none"/>
        </w:rPr>
        <w:t xml:space="preserve">: </w:t>
      </w:r>
      <w:hyperlink r:id="rId13" w:history="1">
        <w:r>
          <w:rPr>
            <w:rStyle w:val="Hyperlink"/>
            <w:rFonts w:eastAsia="Times New Roman"/>
          </w:rPr>
          <w:t>www.qualitynet.org&gt;Hospitals – Outpatient&gt;Measures&gt;Surgery Measure&gt;Learn more&gt;Reports</w:t>
        </w:r>
      </w:hyperlink>
    </w:p>
    <w:p w14:paraId="1FCCAB65" w14:textId="77777777" w:rsidR="00B44B4B" w:rsidRDefault="00B44B4B" w:rsidP="00B44B4B">
      <w:pPr>
        <w:pStyle w:val="ListParagraph"/>
        <w:numPr>
          <w:ilvl w:val="0"/>
          <w:numId w:val="3"/>
        </w:numPr>
        <w:spacing w:before="120"/>
        <w:ind w:right="302"/>
        <w:rPr>
          <w:rFonts w:eastAsia="Times New Roman"/>
          <w:color w:val="000000"/>
          <w:spacing w:val="1"/>
        </w:rPr>
      </w:pPr>
      <w:bookmarkStart w:id="3" w:name="_Hlk522724115"/>
      <w:r>
        <w:rPr>
          <w:rFonts w:eastAsia="Times New Roman"/>
          <w:color w:val="000000"/>
          <w:spacing w:val="1"/>
        </w:rPr>
        <w:t>The CDR will also be accompanied by a User Guide which will help facilities interpret the information in the CDR.</w:t>
      </w:r>
    </w:p>
    <w:p w14:paraId="09D8020F" w14:textId="77777777" w:rsidR="00B44B4B" w:rsidRDefault="00B44B4B" w:rsidP="00B44B4B">
      <w:pPr>
        <w:pStyle w:val="ListParagraph"/>
        <w:numPr>
          <w:ilvl w:val="0"/>
          <w:numId w:val="3"/>
        </w:numPr>
        <w:rPr>
          <w:rFonts w:eastAsia="Times New Roman"/>
        </w:rPr>
      </w:pPr>
      <w:r>
        <w:rPr>
          <w:rFonts w:eastAsia="Times New Roman"/>
        </w:rPr>
        <w:t>Prior to the final measure calculation and public reporting of the measures, which CMS anticipates occurring in January 2021 or shortly thereafter (for CY 2021 payment determination), CMS anticipates distributing a Facility-Specific Report (FSR) to facilities subject to the measures. The FSR should contain final calculations based on the full reporting periods.</w:t>
      </w:r>
      <w:bookmarkEnd w:id="3"/>
    </w:p>
    <w:p w14:paraId="3ED3AE0D" w14:textId="77777777" w:rsidR="00B44B4B" w:rsidRDefault="00B44B4B" w:rsidP="00B44B4B">
      <w:pPr>
        <w:pStyle w:val="ListParagraph"/>
        <w:numPr>
          <w:ilvl w:val="0"/>
          <w:numId w:val="3"/>
        </w:numPr>
        <w:rPr>
          <w:rFonts w:eastAsia="Times New Roman"/>
        </w:rPr>
      </w:pPr>
      <w:r>
        <w:rPr>
          <w:rFonts w:eastAsia="Times New Roman"/>
          <w:b/>
          <w:bCs/>
          <w:color w:val="000000"/>
        </w:rPr>
        <w:t xml:space="preserve">Please do not respond directly to this email; this email box is not monitored. </w:t>
      </w:r>
      <w:r>
        <w:rPr>
          <w:rFonts w:eastAsia="Times New Roman"/>
        </w:rPr>
        <w:t xml:space="preserve">Facilities may submit questions and comments via the QualityNet Question and Answer Tool: </w:t>
      </w:r>
      <w:bookmarkStart w:id="4" w:name="_Hlk31025767"/>
      <w:r>
        <w:rPr>
          <w:rFonts w:eastAsia="Times New Roman"/>
        </w:rPr>
        <w:fldChar w:fldCharType="begin"/>
      </w:r>
      <w:r>
        <w:rPr>
          <w:rFonts w:eastAsia="Times New Roman"/>
        </w:rPr>
        <w:instrText xml:space="preserve"> HYPERLINK "https://cmsqualitysupport.service-now.com/qnet_qa" </w:instrText>
      </w:r>
      <w:r>
        <w:rPr>
          <w:rFonts w:eastAsia="Times New Roman"/>
        </w:rPr>
        <w:fldChar w:fldCharType="separate"/>
      </w:r>
      <w:r>
        <w:rPr>
          <w:rStyle w:val="Hyperlink"/>
          <w:rFonts w:eastAsia="Times New Roman"/>
        </w:rPr>
        <w:t>https://cmsqualitysupport.service-now.com/qnet_qa</w:t>
      </w:r>
      <w:bookmarkEnd w:id="4"/>
      <w:r>
        <w:rPr>
          <w:rFonts w:eastAsia="Times New Roman"/>
        </w:rPr>
        <w:fldChar w:fldCharType="end"/>
      </w:r>
    </w:p>
    <w:p w14:paraId="4147C51F" w14:textId="77777777" w:rsidR="007006E2" w:rsidRDefault="007006E2"/>
    <w:sectPr w:rsidR="00700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562A2"/>
    <w:multiLevelType w:val="hybridMultilevel"/>
    <w:tmpl w:val="F1B67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0D7C12"/>
    <w:multiLevelType w:val="hybridMultilevel"/>
    <w:tmpl w:val="209E8D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A9A26D3"/>
    <w:multiLevelType w:val="hybridMultilevel"/>
    <w:tmpl w:val="29C4C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4B"/>
    <w:rsid w:val="0031318E"/>
    <w:rsid w:val="007006E2"/>
    <w:rsid w:val="009756AB"/>
    <w:rsid w:val="00B44B4B"/>
    <w:rsid w:val="00FB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3D7E"/>
  <w15:chartTrackingRefBased/>
  <w15:docId w15:val="{057DD02E-C53D-49E1-9354-193F23E4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4B4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4B4B"/>
    <w:rPr>
      <w:color w:val="0563C1"/>
      <w:u w:val="single"/>
    </w:rPr>
  </w:style>
  <w:style w:type="paragraph" w:styleId="ListParagraph">
    <w:name w:val="List Paragraph"/>
    <w:basedOn w:val="Normal"/>
    <w:uiPriority w:val="99"/>
    <w:qFormat/>
    <w:rsid w:val="00B44B4B"/>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73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netsupport@hcqis.org" TargetMode="External"/><Relationship Id="rId13" Type="http://schemas.openxmlformats.org/officeDocument/2006/relationships/hyperlink" Target="https://www.qualitynet.org/outpatient/measures/surgery/reports" TargetMode="External"/><Relationship Id="rId3" Type="http://schemas.openxmlformats.org/officeDocument/2006/relationships/settings" Target="settings.xml"/><Relationship Id="rId7" Type="http://schemas.openxmlformats.org/officeDocument/2006/relationships/hyperlink" Target="https://www.qualitynet.org/outpatient/measures/surgery" TargetMode="External"/><Relationship Id="rId12" Type="http://schemas.openxmlformats.org/officeDocument/2006/relationships/hyperlink" Target="https://www.qualitynet.org/outpatient/measures/chemotherapy/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alitynet.org/outpatient/measures/chemotherapy" TargetMode="External"/><Relationship Id="rId11" Type="http://schemas.openxmlformats.org/officeDocument/2006/relationships/hyperlink" Target="https://www.qualitynet.org/outpatient/measures/colonoscopy/reports" TargetMode="External"/><Relationship Id="rId5" Type="http://schemas.openxmlformats.org/officeDocument/2006/relationships/hyperlink" Target="https://www.qualitynet.org/outpatient/measures/colonoscopy" TargetMode="External"/><Relationship Id="rId15" Type="http://schemas.openxmlformats.org/officeDocument/2006/relationships/theme" Target="theme/theme1.xml"/><Relationship Id="rId10" Type="http://schemas.openxmlformats.org/officeDocument/2006/relationships/hyperlink" Target="https://www.qualityreportingcenter.com/en/hospital-oqr-program/data-dashboard/lookup-tools/" TargetMode="External"/><Relationship Id="rId4" Type="http://schemas.openxmlformats.org/officeDocument/2006/relationships/webSettings" Target="webSettings.xml"/><Relationship Id="rId9" Type="http://schemas.openxmlformats.org/officeDocument/2006/relationships/hyperlink" Target="https://www.qualityne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Purdy</dc:creator>
  <cp:keywords/>
  <dc:description/>
  <cp:lastModifiedBy>Dave Dillon</cp:lastModifiedBy>
  <cp:revision>2</cp:revision>
  <cp:lastPrinted>2020-03-26T20:38:00Z</cp:lastPrinted>
  <dcterms:created xsi:type="dcterms:W3CDTF">2020-03-27T21:14:00Z</dcterms:created>
  <dcterms:modified xsi:type="dcterms:W3CDTF">2020-03-27T21:14:00Z</dcterms:modified>
</cp:coreProperties>
</file>